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E" w:rsidRDefault="00717D8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-271145</wp:posOffset>
            </wp:positionV>
            <wp:extent cx="2635200" cy="813600"/>
            <wp:effectExtent l="0" t="0" r="0" b="5715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 CARTA INTEST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D8E" w:rsidRDefault="00717D8E">
      <w:pPr>
        <w:rPr>
          <w:sz w:val="28"/>
          <w:szCs w:val="28"/>
        </w:rPr>
      </w:pP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>Cari parroci,</w:t>
      </w: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>vorremmo cogliere l’occasione dell’invio del materiale informativo della nostra ordinazione per condividere una breve spiegazione della frase e dell’immagine che abbiamo scelto.</w:t>
      </w:r>
    </w:p>
    <w:p w:rsidR="00AF796E" w:rsidRDefault="00717D8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</w:rPr>
        <w:t xml:space="preserve">Sua madre disse ai servitori: «Qualsiasi cosa vi dica, fatela»”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Gv</w:t>
      </w:r>
      <w:proofErr w:type="spellEnd"/>
      <w:r>
        <w:rPr>
          <w:i/>
          <w:iCs/>
          <w:sz w:val="28"/>
          <w:szCs w:val="28"/>
        </w:rPr>
        <w:t xml:space="preserve"> 2,5)</w:t>
      </w: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>In questa frase, tratta dall’episodio del primo segno di Gesù alle nozze di Cana raccontato da Giovanni, abbiamo colto alcuni aspetti importanti della nostra vocazione, che l’immagine</w:t>
      </w:r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Rupnik</w:t>
      </w:r>
      <w:proofErr w:type="spellEnd"/>
      <w:r>
        <w:rPr>
          <w:sz w:val="28"/>
          <w:szCs w:val="28"/>
        </w:rPr>
        <w:t xml:space="preserve"> sottolinea con espressiva delicatezza.</w:t>
      </w:r>
    </w:p>
    <w:p w:rsidR="00AF796E" w:rsidRDefault="00717D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 primo luogo</w:t>
      </w:r>
      <w:proofErr w:type="gramEnd"/>
      <w:r>
        <w:rPr>
          <w:sz w:val="28"/>
          <w:szCs w:val="28"/>
        </w:rPr>
        <w:t xml:space="preserve"> la presenza di Maria, alla cui protezione affidiamo il nostro ministero, madre premurosa che presenta a Gesù le necessità dell’uomo e affida ai servitori la missione di seguirne le indicazion</w:t>
      </w:r>
      <w:r>
        <w:rPr>
          <w:sz w:val="28"/>
          <w:szCs w:val="28"/>
        </w:rPr>
        <w:t>i.</w:t>
      </w: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>Anche noi ci sentiamo quei servitori: ci apprestiamo a diventare diaconi, cioè coloro che servono, o meglio, come ha richiamato il Papa a Milano nella sua visita del 2017, coloro che “custodiscono il servizio” e sono chiamati a “dire” con la vita uno st</w:t>
      </w:r>
      <w:r>
        <w:rPr>
          <w:sz w:val="28"/>
          <w:szCs w:val="28"/>
        </w:rPr>
        <w:t>ile di Chiesa.</w:t>
      </w: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>Come diaconi vorremmo essere quel servitore che, come mostra l’immagine, resta defilato, lascia la scena a Gesù, ma offre il vino buono agli sposi: quel vino buono di cui il servitore conosce però l’origine e la preziosità, e proprio per que</w:t>
      </w:r>
      <w:r>
        <w:rPr>
          <w:sz w:val="28"/>
          <w:szCs w:val="28"/>
        </w:rPr>
        <w:t xml:space="preserve">sto lo desidera offrire agli sposi. </w:t>
      </w: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 xml:space="preserve">Infine, nell’ultima parte della frase, risuona il programma di una vita che miri alla santità: fare tutto quello che Gesù ci chiederà. </w:t>
      </w: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>Nel nostro ministero, saremo chiamati a fare la volontà di Dio in ogni momento, com</w:t>
      </w:r>
      <w:r>
        <w:rPr>
          <w:sz w:val="28"/>
          <w:szCs w:val="28"/>
        </w:rPr>
        <w:t>e espressa dall’obbedienza filiale al nostro Vescovo, nei tre ambiti fondamentali in cui si esprime la vita del Diacono Permanente: la famiglia, nell’essere mariti e padri che si donano, il lavoro, nell’essere presenza sacramentale della Chiesa, la comunit</w:t>
      </w:r>
      <w:r>
        <w:rPr>
          <w:sz w:val="28"/>
          <w:szCs w:val="28"/>
        </w:rPr>
        <w:t>à cristiana, che saremo chiamati a servire con intelligente sollecitudine.</w:t>
      </w:r>
    </w:p>
    <w:p w:rsidR="00AF796E" w:rsidRDefault="00717D8E">
      <w:pPr>
        <w:rPr>
          <w:sz w:val="28"/>
          <w:szCs w:val="28"/>
        </w:rPr>
      </w:pPr>
      <w:r>
        <w:rPr>
          <w:sz w:val="28"/>
          <w:szCs w:val="28"/>
        </w:rPr>
        <w:t>La presenza di Maria ci richiama anche il profilo femminile della Chiesa, che saremo chiamati a vivere e valorizzare con le nostre mogli, che condividono la nostra scelta nell’unità</w:t>
      </w:r>
      <w:r>
        <w:rPr>
          <w:sz w:val="28"/>
          <w:szCs w:val="28"/>
        </w:rPr>
        <w:t xml:space="preserve"> della vita e del sacramento.</w:t>
      </w:r>
    </w:p>
    <w:p w:rsidR="00AF796E" w:rsidRDefault="00717D8E" w:rsidP="00717D8E">
      <w:pPr>
        <w:jc w:val="right"/>
        <w:rPr>
          <w:sz w:val="28"/>
          <w:szCs w:val="28"/>
        </w:rPr>
      </w:pPr>
      <w:r>
        <w:rPr>
          <w:sz w:val="28"/>
          <w:szCs w:val="28"/>
        </w:rPr>
        <w:t>Antonio, Claudio, Elio, Federico, Maurizio.</w:t>
      </w:r>
    </w:p>
    <w:sectPr w:rsidR="00AF796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6E"/>
    <w:rsid w:val="00717D8E"/>
    <w:rsid w:val="00A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A0B"/>
  <w15:docId w15:val="{407C00A7-83BB-4AEF-9E4E-F926A9E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Mazzi, Elio</dc:creator>
  <dc:description/>
  <cp:lastModifiedBy>Segreteria Rettorato</cp:lastModifiedBy>
  <cp:revision>7</cp:revision>
  <cp:lastPrinted>2021-05-14T07:31:00Z</cp:lastPrinted>
  <dcterms:created xsi:type="dcterms:W3CDTF">2021-05-14T07:38:00Z</dcterms:created>
  <dcterms:modified xsi:type="dcterms:W3CDTF">2021-07-19T09:49:00Z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